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B131" w14:textId="4022B360" w:rsidR="00D33AFE" w:rsidRPr="00493255" w:rsidRDefault="00A94DB6" w:rsidP="00E4146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DEPARTMENT OF ENVIRONMENTAL QUALITY ANNOUNCEMENT</w:t>
      </w:r>
      <w:r w:rsidR="00E41465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OF PUBLIC MEETING AND NOTICE OF PUBLIC COMMENT FOR A</w:t>
      </w:r>
      <w:r w:rsidR="00E41465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WATER QUALITY STUDY (TMDL) FOR </w:t>
      </w:r>
      <w:r w:rsidR="00D33AFE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MATTAPONI RIVER AND TRIBUTARIES</w:t>
      </w:r>
    </w:p>
    <w:p w14:paraId="46D45534" w14:textId="77777777" w:rsidR="00A94DB6" w:rsidRPr="00493255" w:rsidRDefault="00A94DB6" w:rsidP="00D33A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5AD592C4" w14:textId="5BFFB0F7" w:rsidR="00A94DB6" w:rsidRPr="00493255" w:rsidRDefault="0006378B" w:rsidP="00A94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A94DB6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MEETING: </w:t>
      </w:r>
      <w:r w:rsidR="00D33AFE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The Virginia Department of Environmental Quality will virtually host the final public meeting for the Mattaponi River and Tributaries Total Maximum Daily Load (TMDL) Project on</w:t>
      </w:r>
      <w:r w:rsidR="00A94DB6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A94DB6" w:rsidRPr="00493255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Wednesday, </w:t>
      </w:r>
      <w:r w:rsidR="00455C78" w:rsidRPr="00493255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December 9,</w:t>
      </w:r>
      <w:r w:rsidR="00D33AFE" w:rsidRPr="004932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5C78" w:rsidRPr="00493255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2020</w:t>
      </w:r>
      <w:r w:rsidR="00A94DB6" w:rsidRPr="00493255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at 5:30</w:t>
      </w:r>
      <w:r w:rsidR="008F18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pm</w:t>
      </w:r>
      <w:r w:rsidR="00A94DB6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This meeting will be open to the public and all are welcome to participate. </w:t>
      </w:r>
      <w:r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To register and gain access to the meeting, use the following link:</w:t>
      </w:r>
      <w:r w:rsidRPr="00493255">
        <w:rPr>
          <w:rFonts w:ascii="Times New Roman" w:hAnsi="Times New Roman" w:cs="Times New Roman"/>
        </w:rPr>
        <w:t xml:space="preserve"> </w:t>
      </w:r>
      <w:hyperlink r:id="rId6" w:tgtFrame="_blank" w:history="1">
        <w:r w:rsidR="00D33AFE" w:rsidRPr="0049325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https://attendee.gotowebinar.com/register/3542105706491764495</w:t>
        </w:r>
      </w:hyperlink>
      <w:r w:rsidRPr="00493255">
        <w:rPr>
          <w:rFonts w:ascii="Times New Roman" w:hAnsi="Times New Roman" w:cs="Times New Roman"/>
          <w:sz w:val="24"/>
          <w:szCs w:val="24"/>
        </w:rPr>
        <w:t>.</w:t>
      </w:r>
      <w:r w:rsidRPr="00493255">
        <w:rPr>
          <w:rFonts w:ascii="Times New Roman" w:hAnsi="Times New Roman" w:cs="Times New Roman"/>
        </w:rPr>
        <w:t xml:space="preserve"> </w:t>
      </w:r>
      <w:r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The webinar ID is: </w:t>
      </w:r>
      <w:r w:rsidR="00D33AFE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280-864-043</w:t>
      </w:r>
      <w:r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. Please register ahead of the meeting. Given the current State of Emergency related to the COVID-19 pandemic, this meeting will be held entirely virtually. A computer or a telephone are necessary to participate virtually. All participants are encouraged to access the meeting using a computer to view presentations or visual displays, although audio only participation using a phone is also an option.</w:t>
      </w:r>
    </w:p>
    <w:p w14:paraId="4E6C521A" w14:textId="77777777" w:rsidR="00B52AA6" w:rsidRPr="00493255" w:rsidRDefault="00B52AA6" w:rsidP="00A94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403D4B51" w14:textId="54DA7C71" w:rsidR="00CC4846" w:rsidRPr="00493255" w:rsidRDefault="00CC4846" w:rsidP="00CC484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If you have technical </w:t>
      </w:r>
      <w:r w:rsidR="00D802C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issues registering or difficult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y signing on to the meeting please contact 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Marilee </w:t>
      </w:r>
      <w:proofErr w:type="spellStart"/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Tretina</w:t>
      </w:r>
      <w:proofErr w:type="spellEnd"/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at 804-698-4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506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or </w:t>
      </w:r>
      <w:hyperlink r:id="rId7" w:history="1">
        <w:r w:rsidRPr="004932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marilee.tretina</w:t>
        </w:r>
        <w:r w:rsidRPr="00493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x-none"/>
          </w:rPr>
          <w:t>@deq.virginia.gov</w:t>
        </w:r>
      </w:hyperlink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14:paraId="7F22CA44" w14:textId="74B689E9" w:rsidR="007821DC" w:rsidRPr="00493255" w:rsidRDefault="007821DC" w:rsidP="00CC484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4FA71B92" w14:textId="16F90272" w:rsidR="002F4624" w:rsidRPr="00493255" w:rsidRDefault="00A94DB6" w:rsidP="003A33C9">
      <w:pPr>
        <w:rPr>
          <w:rFonts w:ascii="Times New Roman" w:hAnsi="Times New Roman" w:cs="Times New Roman"/>
          <w:sz w:val="24"/>
          <w:szCs w:val="24"/>
        </w:rPr>
      </w:pP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PURPOSE OF NOTICE: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DEQ and its contractors,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5C0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Virginia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Institute of Marine Sciences and </w:t>
      </w:r>
      <w:proofErr w:type="spellStart"/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>StreamsTech</w:t>
      </w:r>
      <w:proofErr w:type="spellEnd"/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will present a draft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water quality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study known as a </w:t>
      </w:r>
      <w:r w:rsidR="00D34BC7" w:rsidRPr="00493255">
        <w:rPr>
          <w:rFonts w:ascii="Times New Roman" w:hAnsi="Times New Roman" w:cs="Times New Roman"/>
          <w:color w:val="000000"/>
          <w:sz w:val="24"/>
          <w:szCs w:val="24"/>
        </w:rPr>
        <w:t>TMDL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for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a portion of the Mattaponi River and tributaries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located in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>King and Queen</w:t>
      </w:r>
      <w:r w:rsidR="005115A4">
        <w:rPr>
          <w:rFonts w:ascii="Times New Roman" w:hAnsi="Times New Roman" w:cs="Times New Roman"/>
          <w:color w:val="000000"/>
          <w:sz w:val="24"/>
          <w:szCs w:val="24"/>
        </w:rPr>
        <w:t>, Essex, Caroline,</w:t>
      </w:r>
      <w:r w:rsidR="0049325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>King William</w:t>
      </w:r>
      <w:r w:rsidR="0049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Counties. </w:t>
      </w:r>
      <w:r w:rsidR="002F4624" w:rsidRPr="00493255">
        <w:rPr>
          <w:rFonts w:ascii="Times New Roman" w:hAnsi="Times New Roman" w:cs="Times New Roman"/>
          <w:sz w:val="24"/>
          <w:szCs w:val="24"/>
        </w:rPr>
        <w:t>The draft study reports the current status of the waterbodies and the possible sources of bacterial contamination.</w:t>
      </w:r>
      <w:r w:rsidR="008D671A" w:rsidRPr="00493255">
        <w:rPr>
          <w:rFonts w:ascii="Times New Roman" w:hAnsi="Times New Roman" w:cs="Times New Roman"/>
          <w:sz w:val="24"/>
          <w:szCs w:val="24"/>
        </w:rPr>
        <w:t xml:space="preserve"> </w:t>
      </w:r>
      <w:r w:rsidR="002F4624" w:rsidRPr="00493255">
        <w:rPr>
          <w:rFonts w:ascii="Times New Roman" w:hAnsi="Times New Roman" w:cs="Times New Roman"/>
          <w:sz w:val="24"/>
          <w:szCs w:val="24"/>
        </w:rPr>
        <w:t>The study recommends TMDLs for the impaired waters.</w:t>
      </w:r>
      <w:r w:rsidR="008D671A" w:rsidRPr="00493255">
        <w:rPr>
          <w:rFonts w:ascii="Times New Roman" w:hAnsi="Times New Roman" w:cs="Times New Roman"/>
          <w:sz w:val="24"/>
          <w:szCs w:val="24"/>
        </w:rPr>
        <w:t xml:space="preserve"> </w:t>
      </w:r>
      <w:r w:rsidR="002F4624" w:rsidRPr="00493255">
        <w:rPr>
          <w:rFonts w:ascii="Times New Roman" w:hAnsi="Times New Roman" w:cs="Times New Roman"/>
          <w:sz w:val="24"/>
          <w:szCs w:val="24"/>
        </w:rPr>
        <w:t>A TMDL is the total amount of a pollutant a water body can contain and still meet water quality standards.</w:t>
      </w:r>
      <w:r w:rsidR="008D671A" w:rsidRPr="00493255">
        <w:rPr>
          <w:rFonts w:ascii="Times New Roman" w:hAnsi="Times New Roman" w:cs="Times New Roman"/>
          <w:sz w:val="24"/>
          <w:szCs w:val="24"/>
        </w:rPr>
        <w:t xml:space="preserve"> </w:t>
      </w:r>
      <w:r w:rsidR="002F4624" w:rsidRPr="00493255">
        <w:rPr>
          <w:rFonts w:ascii="Times New Roman" w:hAnsi="Times New Roman" w:cs="Times New Roman"/>
          <w:sz w:val="24"/>
          <w:szCs w:val="24"/>
        </w:rPr>
        <w:t xml:space="preserve">To restore water quality, bacterial levels have to be reduced to the TMDL amount.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A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30-day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public comment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period </w:t>
      </w:r>
      <w:r w:rsidR="003A33C9" w:rsidRPr="00493255">
        <w:rPr>
          <w:rFonts w:ascii="Times New Roman" w:hAnsi="Times New Roman" w:cs="Times New Roman"/>
          <w:color w:val="000000"/>
          <w:sz w:val="24"/>
          <w:szCs w:val="24"/>
        </w:rPr>
        <w:t>(December 10, 2020 to January 11, 2021</w:t>
      </w:r>
      <w:r w:rsidR="007821DC" w:rsidRPr="004932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F4624" w:rsidRPr="00493255">
        <w:rPr>
          <w:rFonts w:ascii="Times New Roman" w:hAnsi="Times New Roman" w:cs="Times New Roman"/>
          <w:color w:val="000000"/>
          <w:sz w:val="24"/>
          <w:szCs w:val="24"/>
          <w:lang w:val="x-none"/>
        </w:rPr>
        <w:t>will follow the meeting</w:t>
      </w:r>
      <w:r w:rsidR="00B52AA6" w:rsidRPr="004932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D990D8" w14:textId="72D48F1E" w:rsidR="00A94DB6" w:rsidRPr="00493255" w:rsidRDefault="00A94DB6" w:rsidP="00A94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DESCRIPTION OF STUDY: 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Portions of the 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Mattaponi River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and its tributaries were identified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in Virginia’s 2016 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2018 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Water Quality Assessment Integrated Report as impaired due to 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exceedances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of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the State’s water quality standards for E. coli and do not support the Designated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78B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Uses of ‘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Primary Contact (recreational or swimming)</w:t>
      </w:r>
      <w:r w:rsidR="0006378B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The specific impairments are attached.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Reductions and TMDLs for the causes of the impairments </w:t>
      </w:r>
      <w:r w:rsidR="00CC4846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d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CC4846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>eloped through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water quality study process.</w:t>
      </w:r>
      <w:r w:rsidR="002F4624"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</w:p>
    <w:p w14:paraId="2D96A262" w14:textId="48FCDDA5" w:rsidR="00A94DB6" w:rsidRPr="00493255" w:rsidRDefault="00A94DB6" w:rsidP="00A94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HOW TO COMMENT AND PARTICIPATE: The meetings of the TMDL process are open to the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public and all interested parties are welcome. </w:t>
      </w: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Written comments will be accepted through </w:t>
      </w:r>
      <w:r w:rsidR="002F4624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January </w:t>
      </w:r>
      <w:r w:rsidR="003A33C9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2F4624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2021</w:t>
      </w: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and should include the name, address, and telephone number of the person submitting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2AA6"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the comments. </w:t>
      </w:r>
      <w:r w:rsidRPr="0049325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For more information or to submit written comments, please contact:</w:t>
      </w:r>
    </w:p>
    <w:p w14:paraId="6234ABEE" w14:textId="77777777" w:rsidR="007821DC" w:rsidRPr="00493255" w:rsidRDefault="007821DC" w:rsidP="007821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50D7DA" w14:textId="3A336EF6" w:rsidR="00A94DB6" w:rsidRPr="00493255" w:rsidRDefault="002F4624" w:rsidP="007821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Jen Rogers</w:t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B21CD70" w14:textId="7851FA6F" w:rsidR="007821DC" w:rsidRPr="00493255" w:rsidRDefault="00A94DB6" w:rsidP="007821DC">
      <w:pPr>
        <w:autoSpaceDE w:val="0"/>
        <w:autoSpaceDN w:val="0"/>
        <w:adjustRightInd w:val="0"/>
        <w:snapToGrid w:val="0"/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DEQ Piedmont Regional Office</w:t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  <w:t>Telephone: (804) 527-5</w:t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174</w:t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</w:p>
    <w:p w14:paraId="0516249C" w14:textId="07B38B17" w:rsidR="00A94DB6" w:rsidRPr="00493255" w:rsidRDefault="00A94DB6" w:rsidP="00A94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4949 Cox Rd.</w:t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</w:r>
      <w:r w:rsidR="007821DC"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ab/>
        <w:t xml:space="preserve">E-mail: </w:t>
      </w:r>
      <w:hyperlink r:id="rId8" w:history="1">
        <w:r w:rsidR="007821DC" w:rsidRPr="0049325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jennifer.rogers</w:t>
        </w:r>
        <w:r w:rsidR="007821DC" w:rsidRPr="0049325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x-none"/>
          </w:rPr>
          <w:t>@deq.virginia.gov</w:t>
        </w:r>
      </w:hyperlink>
    </w:p>
    <w:p w14:paraId="3D871D95" w14:textId="77777777" w:rsidR="00A94DB6" w:rsidRPr="00493255" w:rsidRDefault="00A94DB6" w:rsidP="00A94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493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Glen Allen, VA 23060</w:t>
      </w:r>
    </w:p>
    <w:p w14:paraId="4E3D256B" w14:textId="77777777" w:rsidR="00493255" w:rsidRDefault="00493255" w:rsidP="007821D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</w:pPr>
    </w:p>
    <w:p w14:paraId="616A7808" w14:textId="2C54DA08" w:rsidR="007821DC" w:rsidRPr="00493255" w:rsidRDefault="007821DC" w:rsidP="007821D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x-none"/>
        </w:rPr>
      </w:pPr>
      <w:r w:rsidRPr="00493255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In the event that the Governor’s State of Emergency is lifted, the meeting will be held on the same date and time in the Training Room of the Piedmont Regional Office</w:t>
      </w:r>
      <w:r w:rsidR="00493255" w:rsidRPr="00493255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,</w:t>
      </w:r>
      <w:r w:rsidRPr="00493255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address listed above.</w:t>
      </w:r>
    </w:p>
    <w:p w14:paraId="3DFCC0B1" w14:textId="77777777" w:rsidR="002F4624" w:rsidRPr="00493255" w:rsidRDefault="002F4624" w:rsidP="00F92661">
      <w:pPr>
        <w:autoSpaceDE w:val="0"/>
        <w:autoSpaceDN w:val="0"/>
        <w:adjustRightInd w:val="0"/>
        <w:snapToGrid w:val="0"/>
        <w:spacing w:after="0" w:line="240" w:lineRule="auto"/>
        <w:ind w:right="995"/>
        <w:jc w:val="center"/>
        <w:rPr>
          <w:rFonts w:ascii="Times New Roman" w:eastAsia="Times New Roman" w:hAnsi="Times New Roman" w:cs="Times New Roman"/>
          <w:color w:val="17365D"/>
          <w:spacing w:val="-1"/>
          <w:sz w:val="36"/>
          <w:szCs w:val="24"/>
        </w:rPr>
      </w:pPr>
      <w:r w:rsidRPr="00493255">
        <w:rPr>
          <w:rFonts w:ascii="Times New Roman" w:eastAsia="Times New Roman" w:hAnsi="Times New Roman" w:cs="Times New Roman"/>
          <w:color w:val="17365D"/>
          <w:sz w:val="36"/>
          <w:szCs w:val="24"/>
        </w:rPr>
        <w:lastRenderedPageBreak/>
        <w:t>A</w:t>
      </w:r>
      <w:r w:rsidRPr="00493255">
        <w:rPr>
          <w:rFonts w:ascii="Times New Roman" w:eastAsia="Times New Roman" w:hAnsi="Times New Roman" w:cs="Times New Roman"/>
          <w:color w:val="17365D"/>
          <w:spacing w:val="5"/>
          <w:sz w:val="36"/>
          <w:szCs w:val="24"/>
        </w:rPr>
        <w:t>f</w:t>
      </w:r>
      <w:r w:rsidRPr="00493255">
        <w:rPr>
          <w:rFonts w:ascii="Times New Roman" w:eastAsia="Times New Roman" w:hAnsi="Times New Roman" w:cs="Times New Roman"/>
          <w:color w:val="17365D"/>
          <w:sz w:val="36"/>
          <w:szCs w:val="24"/>
        </w:rPr>
        <w:t>f</w:t>
      </w:r>
      <w:r w:rsidRPr="00493255">
        <w:rPr>
          <w:rFonts w:ascii="Times New Roman" w:eastAsia="Times New Roman" w:hAnsi="Times New Roman" w:cs="Times New Roman"/>
          <w:color w:val="17365D"/>
          <w:spacing w:val="5"/>
          <w:sz w:val="36"/>
          <w:szCs w:val="24"/>
        </w:rPr>
        <w:t>e</w:t>
      </w:r>
      <w:r w:rsidRPr="00493255">
        <w:rPr>
          <w:rFonts w:ascii="Times New Roman" w:eastAsia="Times New Roman" w:hAnsi="Times New Roman" w:cs="Times New Roman"/>
          <w:color w:val="17365D"/>
          <w:spacing w:val="6"/>
          <w:sz w:val="36"/>
          <w:szCs w:val="24"/>
        </w:rPr>
        <w:t>c</w:t>
      </w:r>
      <w:r w:rsidRPr="00493255">
        <w:rPr>
          <w:rFonts w:ascii="Times New Roman" w:eastAsia="Times New Roman" w:hAnsi="Times New Roman" w:cs="Times New Roman"/>
          <w:color w:val="17365D"/>
          <w:sz w:val="36"/>
          <w:szCs w:val="24"/>
        </w:rPr>
        <w:t>ted</w:t>
      </w:r>
      <w:r w:rsidRPr="00493255">
        <w:rPr>
          <w:rFonts w:ascii="Times New Roman" w:eastAsia="Times New Roman" w:hAnsi="Times New Roman" w:cs="Times New Roman"/>
          <w:color w:val="17365D"/>
          <w:spacing w:val="5"/>
          <w:sz w:val="36"/>
          <w:szCs w:val="24"/>
        </w:rPr>
        <w:t xml:space="preserve"> </w:t>
      </w:r>
      <w:r w:rsidRPr="00493255">
        <w:rPr>
          <w:rFonts w:ascii="Times New Roman" w:eastAsia="Times New Roman" w:hAnsi="Times New Roman" w:cs="Times New Roman"/>
          <w:color w:val="17365D"/>
          <w:spacing w:val="-18"/>
          <w:sz w:val="36"/>
          <w:szCs w:val="24"/>
        </w:rPr>
        <w:t>W</w:t>
      </w:r>
      <w:r w:rsidRPr="00493255">
        <w:rPr>
          <w:rFonts w:ascii="Times New Roman" w:eastAsia="Times New Roman" w:hAnsi="Times New Roman" w:cs="Times New Roman"/>
          <w:color w:val="17365D"/>
          <w:spacing w:val="5"/>
          <w:sz w:val="36"/>
          <w:szCs w:val="24"/>
        </w:rPr>
        <w:t>a</w:t>
      </w:r>
      <w:r w:rsidRPr="00493255">
        <w:rPr>
          <w:rFonts w:ascii="Times New Roman" w:eastAsia="Times New Roman" w:hAnsi="Times New Roman" w:cs="Times New Roman"/>
          <w:color w:val="17365D"/>
          <w:sz w:val="36"/>
          <w:szCs w:val="24"/>
        </w:rPr>
        <w:t>te</w:t>
      </w:r>
      <w:r w:rsidRPr="00493255">
        <w:rPr>
          <w:rFonts w:ascii="Times New Roman" w:eastAsia="Times New Roman" w:hAnsi="Times New Roman" w:cs="Times New Roman"/>
          <w:color w:val="17365D"/>
          <w:spacing w:val="5"/>
          <w:sz w:val="36"/>
          <w:szCs w:val="24"/>
        </w:rPr>
        <w:t>r</w:t>
      </w:r>
      <w:r w:rsidRPr="00493255">
        <w:rPr>
          <w:rFonts w:ascii="Times New Roman" w:eastAsia="Times New Roman" w:hAnsi="Times New Roman" w:cs="Times New Roman"/>
          <w:color w:val="17365D"/>
          <w:sz w:val="36"/>
          <w:szCs w:val="24"/>
        </w:rPr>
        <w:t>way</w:t>
      </w:r>
      <w:r w:rsidRPr="00493255">
        <w:rPr>
          <w:rFonts w:ascii="Times New Roman" w:eastAsia="Times New Roman" w:hAnsi="Times New Roman" w:cs="Times New Roman"/>
          <w:color w:val="17365D"/>
          <w:spacing w:val="10"/>
          <w:sz w:val="36"/>
          <w:szCs w:val="24"/>
        </w:rPr>
        <w:t>s</w:t>
      </w:r>
      <w:r w:rsidRPr="00493255">
        <w:rPr>
          <w:rFonts w:ascii="Times New Roman" w:eastAsia="Times New Roman" w:hAnsi="Times New Roman" w:cs="Times New Roman"/>
          <w:color w:val="17365D"/>
          <w:sz w:val="36"/>
          <w:szCs w:val="24"/>
        </w:rPr>
        <w:t>:</w:t>
      </w:r>
      <w:r w:rsidRPr="00493255">
        <w:rPr>
          <w:rFonts w:ascii="Times New Roman" w:eastAsia="Times New Roman" w:hAnsi="Times New Roman" w:cs="Times New Roman"/>
          <w:color w:val="17365D"/>
          <w:spacing w:val="-1"/>
          <w:sz w:val="36"/>
          <w:szCs w:val="24"/>
        </w:rPr>
        <w:t xml:space="preserve"> Mattaponi</w:t>
      </w:r>
      <w:r w:rsidR="00F92661" w:rsidRPr="00493255">
        <w:rPr>
          <w:rFonts w:ascii="Times New Roman" w:eastAsia="Times New Roman" w:hAnsi="Times New Roman" w:cs="Times New Roman"/>
          <w:color w:val="17365D"/>
          <w:spacing w:val="-1"/>
          <w:sz w:val="36"/>
          <w:szCs w:val="24"/>
        </w:rPr>
        <w:t xml:space="preserve"> River and</w:t>
      </w:r>
      <w:r w:rsidRPr="00493255">
        <w:rPr>
          <w:rFonts w:ascii="Times New Roman" w:eastAsia="Times New Roman" w:hAnsi="Times New Roman" w:cs="Times New Roman"/>
          <w:color w:val="17365D"/>
          <w:spacing w:val="-1"/>
          <w:sz w:val="36"/>
          <w:szCs w:val="24"/>
        </w:rPr>
        <w:t xml:space="preserve"> Tributaries</w:t>
      </w:r>
    </w:p>
    <w:p w14:paraId="24792E61" w14:textId="77777777" w:rsidR="002F4624" w:rsidRPr="00493255" w:rsidRDefault="002F4624" w:rsidP="00F92661">
      <w:pPr>
        <w:autoSpaceDE w:val="0"/>
        <w:autoSpaceDN w:val="0"/>
        <w:adjustRightInd w:val="0"/>
        <w:snapToGrid w:val="0"/>
        <w:spacing w:after="0" w:line="240" w:lineRule="auto"/>
        <w:ind w:right="995"/>
        <w:rPr>
          <w:rFonts w:ascii="Times New Roman" w:eastAsia="Times New Roman" w:hAnsi="Times New Roman" w:cs="Times New Roman"/>
          <w:color w:val="17365D"/>
          <w:spacing w:val="-1"/>
          <w:sz w:val="36"/>
          <w:szCs w:val="24"/>
        </w:rPr>
      </w:pPr>
    </w:p>
    <w:tbl>
      <w:tblPr>
        <w:tblpPr w:leftFromText="180" w:rightFromText="180" w:vertAnchor="text" w:horzAnchor="margin" w:tblpXSpec="center" w:tblpY="4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2F4624" w:rsidRPr="00493255" w14:paraId="6CC7F45D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57F4FE2D" w14:textId="2E291549" w:rsidR="002F4624" w:rsidRPr="00493255" w:rsidRDefault="007904C1" w:rsidP="002C50F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Aylett Creek (F23R-04-BAC)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6.83 miles</w:t>
            </w:r>
            <w:r w:rsidR="00DA519E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Kin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A519E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William County</w:t>
            </w:r>
            <w:r w:rsidR="003A33C9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unit VAP-F23R_AYL01A12 headwaters to mouth at Mattaponi River</w:t>
            </w:r>
          </w:p>
        </w:tc>
      </w:tr>
      <w:tr w:rsidR="002F4624" w:rsidRPr="00493255" w14:paraId="0505E05A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4DF682D4" w14:textId="61101DC2" w:rsidR="002F4624" w:rsidRPr="00493255" w:rsidRDefault="007904C1" w:rsidP="00D33A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Courthouse Creek (F24R-03-BAC),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 miles</w:t>
            </w:r>
            <w:r w:rsidR="00DA519E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King and Queen County</w:t>
            </w:r>
            <w:r w:rsidR="003A33C9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unit VAP-F24R_CTH01A00 extends from King and Queen Courthouse Pond downstream to the tidal limit</w:t>
            </w:r>
          </w:p>
        </w:tc>
      </w:tr>
      <w:tr w:rsidR="002F4624" w:rsidRPr="00493255" w14:paraId="3E6BDCE4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4D7C8E4C" w14:textId="742E6C61" w:rsidR="002F4624" w:rsidRPr="00493255" w:rsidRDefault="00E4565A" w:rsidP="007346E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Dickeys Swamp, (F23R-08-BAC),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4.33 miles, </w:t>
            </w:r>
            <w:r w:rsidR="00DA519E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King and Queen County,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unit VAP-F23R_</w:t>
            </w:r>
            <w:r w:rsidR="007346EB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DKW01B00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begins at Dogw</w:t>
            </w:r>
            <w:r w:rsidR="00CC4846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oods Fork and ends at Route 620</w:t>
            </w:r>
          </w:p>
        </w:tc>
      </w:tr>
      <w:tr w:rsidR="00E4565A" w:rsidRPr="00493255" w14:paraId="3C0E9764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4B05E427" w14:textId="4ADF3FAA" w:rsidR="00E4565A" w:rsidRPr="00493255" w:rsidRDefault="00E4565A" w:rsidP="00DA519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Dogwood Fork (F23R-11-BAC),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 miles,</w:t>
            </w:r>
            <w:r w:rsidR="00DA519E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King and Queen County,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unit VAP-F23R_DWD01A00 head waters to its mouth at Dickeys Swamp</w:t>
            </w:r>
          </w:p>
        </w:tc>
      </w:tr>
      <w:tr w:rsidR="00E4565A" w:rsidRPr="00493255" w14:paraId="2B793514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16D2AE66" w14:textId="2AA249FE" w:rsidR="00E4565A" w:rsidRPr="00493255" w:rsidRDefault="00E4565A" w:rsidP="00D33A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Dorrell Creek, (F21R-08-BAC),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 miles,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King William County,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unit</w:t>
            </w:r>
            <w:r w:rsidR="008D671A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VAN-F21R_DRL01A18 begins at the confluence with Little Dorrell Creek downstream to the confluence with Herring Creek</w:t>
            </w:r>
          </w:p>
        </w:tc>
      </w:tr>
      <w:tr w:rsidR="00E4565A" w:rsidRPr="00493255" w14:paraId="731DB1EF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63F618AE" w14:textId="3C382E1D" w:rsidR="00E4565A" w:rsidRPr="00493255" w:rsidRDefault="00E4565A" w:rsidP="00D33A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Garnetts</w:t>
            </w:r>
            <w:proofErr w:type="spellEnd"/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Creek (F2</w:t>
            </w:r>
            <w:r w:rsidR="0006378B"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R-0</w:t>
            </w:r>
            <w:r w:rsidR="0006378B"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 miles,</w:t>
            </w:r>
            <w:r w:rsidR="00DA519E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King and Queen County, </w:t>
            </w:r>
            <w:r w:rsidR="00256BD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unit VAP-F23R_GNT01A00 extends from Dickeys Swamp to the tidal limit</w:t>
            </w:r>
          </w:p>
        </w:tc>
      </w:tr>
      <w:tr w:rsidR="00E4565A" w:rsidRPr="00493255" w14:paraId="17F7E26D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55401F26" w14:textId="0F0F50D5" w:rsidR="00E4565A" w:rsidRPr="00493255" w:rsidRDefault="00E4565A" w:rsidP="00D33A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Gravel Run (F21R-09-BAC), </w:t>
            </w:r>
            <w:r w:rsidR="00256BD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3.54 miles, </w:t>
            </w:r>
            <w:r w:rsidR="00DA519E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King and Queen County, </w:t>
            </w:r>
            <w:r w:rsidR="00256BD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unit</w:t>
            </w:r>
            <w:r w:rsidR="008D671A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BD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VAN-F21R_GVL01A18 extends from</w:t>
            </w:r>
            <w:r w:rsidR="008D671A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BD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 perennial headwaters to the confluence with the Mattaponi River</w:t>
            </w:r>
          </w:p>
        </w:tc>
      </w:tr>
      <w:tr w:rsidR="00E4565A" w:rsidRPr="00493255" w14:paraId="39ADD08F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1BB63F79" w14:textId="7DE57A60" w:rsidR="00E4565A" w:rsidRPr="00493255" w:rsidRDefault="00E4565A" w:rsidP="002C50F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Herring Creek (F21R-05-BAC),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 miles</w:t>
            </w:r>
            <w:r w:rsidR="003A33C9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King William County,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units VAN-F21R_HER01B02 and VAN-F21R_HER01A06 begin at the confluence with Dorrell Creek and continue downstream until the confluence with the Mattaponi River</w:t>
            </w:r>
          </w:p>
        </w:tc>
      </w:tr>
      <w:tr w:rsidR="00E4565A" w:rsidRPr="00493255" w14:paraId="5AC67FD2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5C26E25A" w14:textId="6FD6A507" w:rsidR="00E4565A" w:rsidRPr="00493255" w:rsidRDefault="00E4565A" w:rsidP="00D33A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Market Swamp (F23R-09-BAC),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2.01 miles, 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King and Queen County,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unit VAP-F23R_MKT01B00 begins at Walker Coleman Pond and extends to mouth a</w:t>
            </w:r>
            <w:r w:rsidR="00CC4846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confluence with Dickeys Swamp</w:t>
            </w:r>
          </w:p>
        </w:tc>
      </w:tr>
      <w:tr w:rsidR="00E4565A" w:rsidRPr="00493255" w14:paraId="200B6F23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0C226F10" w14:textId="10C7D5CB" w:rsidR="00E4565A" w:rsidRPr="00493255" w:rsidRDefault="00E4565A" w:rsidP="007346E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Mattaponi River (F21R-06-BAC), </w:t>
            </w:r>
            <w:r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8.00 miles</w:t>
            </w:r>
            <w:r w:rsidR="003A33C9"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C50F7"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King William and King and Queen Counties, </w:t>
            </w:r>
            <w:r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Assessment Units VAN-F21R_</w:t>
            </w:r>
            <w:r w:rsidR="007346EB"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MPN01C02 </w:t>
            </w:r>
            <w:r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and VAN-F21R_MPN01B02 begin at the confluence with </w:t>
            </w:r>
            <w:proofErr w:type="spellStart"/>
            <w:r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Maracossic</w:t>
            </w:r>
            <w:proofErr w:type="spellEnd"/>
            <w:r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Creek and continue downstream to the confluence with Gravel Run</w:t>
            </w:r>
          </w:p>
        </w:tc>
      </w:tr>
      <w:tr w:rsidR="00E4565A" w:rsidRPr="00493255" w14:paraId="0968ECD3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71B35FA3" w14:textId="4A853168" w:rsidR="00E4565A" w:rsidRPr="00493255" w:rsidRDefault="00E4565A" w:rsidP="002C50F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Mattaponi River (F23E-02-BAC),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 sq. miles</w:t>
            </w:r>
            <w:r w:rsidR="003A33C9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50F7" w:rsidRPr="00493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King William and King and Queen Counties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units VAP-</w:t>
            </w:r>
            <w:r w:rsidR="007346EB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F24E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_MPN03A98 and VAP-F23E_MPN03A06 begin at</w:t>
            </w:r>
            <w:r w:rsidR="008D671A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Aylett Creek and extend to the tidal freshwater boundary (approximately river mile 18), tidal</w:t>
            </w:r>
          </w:p>
        </w:tc>
      </w:tr>
      <w:tr w:rsidR="00E4565A" w:rsidRPr="00493255" w14:paraId="7C5C5500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195210D4" w14:textId="2A8ACF35" w:rsidR="00E4565A" w:rsidRPr="00493255" w:rsidRDefault="00E4565A" w:rsidP="00D33A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XDN – </w:t>
            </w:r>
            <w:proofErr w:type="spellStart"/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Garnetts</w:t>
            </w:r>
            <w:proofErr w:type="spellEnd"/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Creek, UT (F23R-12-BAC)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2.53 miles,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King and Queen County,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unit VAP-F23R_XDN01A00 begins at headwaters and extends to mouth at confluence with </w:t>
            </w:r>
            <w:proofErr w:type="spellStart"/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Garnetts</w:t>
            </w:r>
            <w:proofErr w:type="spellEnd"/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Creek</w:t>
            </w:r>
          </w:p>
        </w:tc>
      </w:tr>
      <w:tr w:rsidR="00E4565A" w:rsidRPr="00493255" w14:paraId="17BF919F" w14:textId="77777777" w:rsidTr="00F92661">
        <w:trPr>
          <w:trHeight w:val="826"/>
        </w:trPr>
        <w:tc>
          <w:tcPr>
            <w:tcW w:w="9852" w:type="dxa"/>
            <w:tcMar>
              <w:left w:w="29" w:type="dxa"/>
              <w:right w:w="115" w:type="dxa"/>
            </w:tcMar>
            <w:vAlign w:val="center"/>
          </w:tcPr>
          <w:p w14:paraId="7D35E5D8" w14:textId="5A16F5D2" w:rsidR="00E4565A" w:rsidRPr="00493255" w:rsidRDefault="00E4565A" w:rsidP="00D33A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XJG – Dickeys Swamp, UT (F23R-10-BAC)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1.99 miles,</w:t>
            </w:r>
            <w:r w:rsidR="002C50F7"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King and Queen County,</w:t>
            </w:r>
            <w:r w:rsidRPr="0049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unit VAP-F23R_XJG01A14 headwaters to mouth at confluence with Dickeys Swamp</w:t>
            </w:r>
          </w:p>
        </w:tc>
      </w:tr>
    </w:tbl>
    <w:p w14:paraId="2B4247DF" w14:textId="777CF173" w:rsidR="008D7EF8" w:rsidRPr="00493255" w:rsidRDefault="008D7EF8" w:rsidP="00E41465">
      <w:pPr>
        <w:autoSpaceDE w:val="0"/>
        <w:autoSpaceDN w:val="0"/>
        <w:adjustRightInd w:val="0"/>
        <w:snapToGrid w:val="0"/>
        <w:spacing w:before="1" w:after="993" w:line="240" w:lineRule="auto"/>
        <w:ind w:right="995"/>
        <w:rPr>
          <w:rFonts w:ascii="Times New Roman" w:eastAsia="Times New Roman" w:hAnsi="Times New Roman" w:cs="Times New Roman"/>
          <w:color w:val="17365D"/>
          <w:sz w:val="16"/>
          <w:szCs w:val="16"/>
        </w:rPr>
      </w:pPr>
    </w:p>
    <w:sectPr w:rsidR="008D7EF8" w:rsidRPr="00493255" w:rsidSect="00E41465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498E" w14:textId="77777777" w:rsidR="00EF4739" w:rsidRDefault="00EF4739" w:rsidP="00E1015A">
      <w:pPr>
        <w:spacing w:after="0" w:line="240" w:lineRule="auto"/>
      </w:pPr>
      <w:r>
        <w:separator/>
      </w:r>
    </w:p>
  </w:endnote>
  <w:endnote w:type="continuationSeparator" w:id="0">
    <w:p w14:paraId="4D3D49A5" w14:textId="77777777" w:rsidR="00EF4739" w:rsidRDefault="00EF4739" w:rsidP="00E1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E209" w14:textId="77777777" w:rsidR="00EF4739" w:rsidRDefault="00EF4739" w:rsidP="00E1015A">
      <w:pPr>
        <w:spacing w:after="0" w:line="240" w:lineRule="auto"/>
      </w:pPr>
      <w:r>
        <w:separator/>
      </w:r>
    </w:p>
  </w:footnote>
  <w:footnote w:type="continuationSeparator" w:id="0">
    <w:p w14:paraId="56B270C6" w14:textId="77777777" w:rsidR="00EF4739" w:rsidRDefault="00EF4739" w:rsidP="00E1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64"/>
    <w:rsid w:val="0006378B"/>
    <w:rsid w:val="00243B25"/>
    <w:rsid w:val="00256BD7"/>
    <w:rsid w:val="002C50F7"/>
    <w:rsid w:val="002F4624"/>
    <w:rsid w:val="00393AFF"/>
    <w:rsid w:val="003A33C9"/>
    <w:rsid w:val="00455C78"/>
    <w:rsid w:val="00493255"/>
    <w:rsid w:val="005115A4"/>
    <w:rsid w:val="005A2DA9"/>
    <w:rsid w:val="005A5658"/>
    <w:rsid w:val="005A66F1"/>
    <w:rsid w:val="006075C0"/>
    <w:rsid w:val="00627F64"/>
    <w:rsid w:val="006C616B"/>
    <w:rsid w:val="006F1475"/>
    <w:rsid w:val="007346EB"/>
    <w:rsid w:val="007821DC"/>
    <w:rsid w:val="007904C1"/>
    <w:rsid w:val="00852090"/>
    <w:rsid w:val="00852422"/>
    <w:rsid w:val="008D2FB0"/>
    <w:rsid w:val="008D671A"/>
    <w:rsid w:val="008D7EF8"/>
    <w:rsid w:val="008F188E"/>
    <w:rsid w:val="008F6730"/>
    <w:rsid w:val="00A94DB6"/>
    <w:rsid w:val="00B52AA6"/>
    <w:rsid w:val="00CC4846"/>
    <w:rsid w:val="00D33AFE"/>
    <w:rsid w:val="00D34BC7"/>
    <w:rsid w:val="00D802CE"/>
    <w:rsid w:val="00DA519E"/>
    <w:rsid w:val="00E1015A"/>
    <w:rsid w:val="00E3601A"/>
    <w:rsid w:val="00E41465"/>
    <w:rsid w:val="00E4565A"/>
    <w:rsid w:val="00EE19A3"/>
    <w:rsid w:val="00EF4739"/>
    <w:rsid w:val="00F92661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64860D"/>
  <w15:chartTrackingRefBased/>
  <w15:docId w15:val="{63FEFBFF-7167-4888-8256-F2BA2C1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D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D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5A"/>
  </w:style>
  <w:style w:type="paragraph" w:styleId="Footer">
    <w:name w:val="footer"/>
    <w:basedOn w:val="Normal"/>
    <w:link w:val="FooterChar"/>
    <w:uiPriority w:val="99"/>
    <w:unhideWhenUsed/>
    <w:rsid w:val="00E1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5A"/>
  </w:style>
  <w:style w:type="character" w:styleId="CommentReference">
    <w:name w:val="annotation reference"/>
    <w:basedOn w:val="DefaultParagraphFont"/>
    <w:uiPriority w:val="99"/>
    <w:semiHidden/>
    <w:unhideWhenUsed/>
    <w:rsid w:val="0060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ogers@deq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lee.tretina@deq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354210570649176449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Reh-gingerich, Anna (DEQ)</dc:creator>
  <cp:keywords/>
  <dc:description/>
  <cp:lastModifiedBy>Cirse A. Gonzalez</cp:lastModifiedBy>
  <cp:revision>2</cp:revision>
  <dcterms:created xsi:type="dcterms:W3CDTF">2020-11-17T19:26:00Z</dcterms:created>
  <dcterms:modified xsi:type="dcterms:W3CDTF">2020-11-17T19:26:00Z</dcterms:modified>
</cp:coreProperties>
</file>